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color w:val="000000" w:themeColor="text1"/>
          <w:sz w:val="28"/>
          <w:szCs w:val="28"/>
          <w:lang w:val="en-US"/>
        </w:rPr>
        <w:outlineLvl w:val="0"/>
      </w:pPr>
      <w:r>
        <w:rPr>
          <w:color w:val="000000" w:themeColor="text1"/>
          <w:sz w:val="28"/>
          <w:szCs w:val="28"/>
          <w:lang w:val="en-US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widowControl w:val="off"/>
        <w:rPr>
          <w:color w:val="000000" w:themeColor="text1"/>
          <w:sz w:val="28"/>
          <w:szCs w:val="28"/>
        </w:rPr>
        <w:outlineLvl w:val="0"/>
      </w:pPr>
      <w:r>
        <w:rPr>
          <w:color w:val="000000" w:themeColor="text1"/>
          <w:sz w:val="28"/>
          <w:szCs w:val="28"/>
        </w:rPr>
      </w:r>
      <w:r/>
    </w:p>
    <w:p>
      <w:pPr>
        <w:pStyle w:val="85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854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854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некоторые  постановления правительства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both"/>
        <w:spacing w:line="240" w:lineRule="auto"/>
        <w:widowControl w:val="off"/>
        <w:rPr>
          <w:bCs/>
          <w:color w:val="000000" w:themeColor="text1"/>
          <w:sz w:val="28"/>
          <w:szCs w:val="28"/>
        </w:rPr>
        <w:outlineLvl w:val="0"/>
      </w:pPr>
      <w:r>
        <w:rPr>
          <w:bCs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widowControl w:val="off"/>
        <w:rPr>
          <w:bCs/>
          <w:color w:val="000000" w:themeColor="text1"/>
          <w:sz w:val="28"/>
          <w:szCs w:val="28"/>
        </w:rPr>
        <w:outlineLvl w:val="0"/>
      </w:pPr>
      <w:r/>
      <w:bookmarkStart w:id="0" w:name="_GoBack"/>
      <w:r/>
      <w:bookmarkEnd w:id="0"/>
      <w:r/>
      <w:r/>
    </w:p>
    <w:p>
      <w:pPr>
        <w:jc w:val="both"/>
        <w:spacing w:line="240" w:lineRule="auto"/>
        <w:rPr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ПОСТАНОВЛЯЕТ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Внести в постановление правительства Еврейской автономной области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27.10.2021 № 435-пп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Порядков назначения гражданам, проживающим на территории Еврейской автономной области, пострадавшим в результате чрезвычайных ситуаций природного и техногенного характера, выплаты единовременной материальной помощи, финансовой помощи в связи </w:t>
      </w:r>
      <w:r>
        <w:rPr>
          <w:sz w:val="28"/>
          <w:szCs w:val="28"/>
          <w:highlight w:val="none"/>
        </w:rPr>
        <w:t xml:space="preserve">с утратой ими имущества первой необходимости и предоставления единовременной денежной выплаты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В Порядке назначения гражданам, проживающим на территории Еврейской автономной области, пострадавшим в результате чрезвычайных ситуаций природного и техногенного характера, выплаты единовременной материальной помощи, </w:t>
      </w:r>
      <w:r>
        <w:rPr>
          <w:sz w:val="28"/>
          <w:szCs w:val="28"/>
          <w:highlight w:val="none"/>
        </w:rPr>
        <w:t xml:space="preserve">утвержденном вышеуказанным постановлением: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пункт 3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«3. П</w:t>
      </w:r>
      <w:r>
        <w:rPr>
          <w:sz w:val="28"/>
          <w:szCs w:val="28"/>
          <w:highlight w:val="none"/>
        </w:rPr>
        <w:t xml:space="preserve">раво на получение единовременной материальной помощи имеют граждане Российской Федерации, а также иностранные граждане (в случаях, предусмотренных международными договорами Российской Федерации) и </w:t>
      </w:r>
      <w:r>
        <w:rPr>
          <w:sz w:val="28"/>
          <w:szCs w:val="28"/>
          <w:highlight w:val="none"/>
        </w:rPr>
        <w:t xml:space="preserve">лица без гражданства</w:t>
      </w:r>
      <w:r>
        <w:rPr>
          <w:sz w:val="28"/>
          <w:szCs w:val="28"/>
          <w:highlight w:val="none"/>
        </w:rPr>
        <w:t xml:space="preserve">, проживающие при введении режима чрезвычайной ситуации в жилых</w:t>
      </w:r>
      <w:r>
        <w:rPr>
          <w:sz w:val="28"/>
          <w:szCs w:val="28"/>
          <w:highlight w:val="none"/>
        </w:rPr>
        <w:t xml:space="preserve"> помещениях, попавших в зону чрезвычайной ситуации (далее </w:t>
      </w:r>
      <w:r/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/>
      <w:r>
        <w:rPr>
          <w:sz w:val="28"/>
          <w:szCs w:val="28"/>
          <w:highlight w:val="none"/>
        </w:rPr>
        <w:t xml:space="preserve"> граждане), условия жизнедеятельности которых были нарушены </w:t>
        <w:br/>
        <w:t xml:space="preserve">в результате чрезвычайной ситуации природного и техногенного характера (далее </w:t>
      </w:r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/>
      <w:r>
        <w:rPr>
          <w:sz w:val="28"/>
          <w:szCs w:val="28"/>
          <w:highlight w:val="none"/>
        </w:rPr>
        <w:t xml:space="preserve"> чрезвычайная ситуация) и признанные пострадавшими </w:t>
        <w:br/>
        <w:t xml:space="preserve">от чрезв</w:t>
      </w:r>
      <w:r>
        <w:rPr>
          <w:sz w:val="28"/>
          <w:szCs w:val="28"/>
          <w:highlight w:val="none"/>
        </w:rPr>
        <w:t xml:space="preserve">ычайной ситуации.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В Порядке</w:t>
      </w:r>
      <w:r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назначения гражданам, проживающим на территории Еврейской автономной области, пострадавшим в результате чрезвычайных ситуаций природного и техногенного характера, выплаты финансовой помощи в связи с утратой ими имущества первой необходимости,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утвержденном вышеуказанным постановлением: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пункт 3 изложить в следующей редакции: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«3. Право на получение финансовой помощи имеют граждане Российской Федерации, а также иностранные граждане (в случаях, предусмотренных международными договорами Российской Федерации)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лица без гражданства</w:t>
      </w:r>
      <w:r/>
      <w:r>
        <w:rPr>
          <w:sz w:val="28"/>
          <w:szCs w:val="28"/>
          <w:highlight w:val="none"/>
        </w:rPr>
        <w:t xml:space="preserve">, проживающие при введении режима чрезвычайной ситуации в жилых помещениях, поп</w:t>
      </w:r>
      <w:r>
        <w:rPr>
          <w:sz w:val="28"/>
          <w:szCs w:val="28"/>
          <w:highlight w:val="none"/>
        </w:rPr>
        <w:t xml:space="preserve">авших в зону чрезвычайной ситуации (далее </w:t>
      </w:r>
      <w:r/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>
        <w:rPr>
          <w:sz w:val="28"/>
          <w:szCs w:val="28"/>
          <w:highlight w:val="none"/>
        </w:rPr>
        <w:t xml:space="preserve"> граждане), полностью или частично утратившие находящееся </w:t>
        <w:br/>
        <w:t xml:space="preserve">в указанных жилых помещениях имущество первой необходимости </w:t>
        <w:br/>
        <w:t xml:space="preserve">в результате чрезвычайной ситуации природного и техногенного характера (далее </w:t>
      </w:r>
      <w:r/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/>
      <w:r>
        <w:rPr>
          <w:sz w:val="28"/>
          <w:szCs w:val="28"/>
          <w:highlight w:val="none"/>
        </w:rPr>
        <w:t xml:space="preserve"> чрезвычайная сит</w:t>
      </w:r>
      <w:r>
        <w:rPr>
          <w:sz w:val="28"/>
          <w:szCs w:val="28"/>
          <w:highlight w:val="none"/>
        </w:rPr>
        <w:t xml:space="preserve">уация) и признанные пострадавшими </w:t>
        <w:br/>
        <w:t xml:space="preserve">от чрезвычайной ситуации.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  <w:highlight w:val="none"/>
        </w:rPr>
        <w:t xml:space="preserve">В Порядке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предоставления единовременной денежной выплаты гражданам, пострадавшим в результате чрезвычайных ситуаций природного и техногенного характера,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утвержденном вышеуказанным постановлением: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пункт 3 изложить в следующей редакции: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«3. </w:t>
      </w:r>
      <w:r>
        <w:rPr>
          <w:sz w:val="28"/>
          <w:szCs w:val="28"/>
          <w:highlight w:val="none"/>
        </w:rPr>
        <w:t xml:space="preserve">Право на получение единовременной денежной выплаты имеют граждане Российской Федерации, </w:t>
      </w:r>
      <w:r>
        <w:rPr>
          <w:sz w:val="28"/>
          <w:szCs w:val="28"/>
          <w:highlight w:val="none"/>
        </w:rPr>
        <w:t xml:space="preserve">а также иностранные граждане (в случаях, предусмотренных международными договорами Российской Федерации)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лица без гражданства</w:t>
      </w:r>
      <w:r/>
      <w:r>
        <w:rPr>
          <w:sz w:val="28"/>
          <w:szCs w:val="28"/>
          <w:highlight w:val="none"/>
        </w:rPr>
        <w:t xml:space="preserve">, проживающие при введении режима чрезвычайной ситуации в жилых помещениях, попавших в зону чрезвычайной ситуации (далее </w:t>
      </w:r>
      <w:r/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/>
      <w:r>
        <w:rPr>
          <w:sz w:val="28"/>
          <w:szCs w:val="28"/>
          <w:highlight w:val="none"/>
        </w:rPr>
        <w:t xml:space="preserve"> граждане), условия жизнедеятельности которых был</w:t>
      </w:r>
      <w:r>
        <w:rPr>
          <w:sz w:val="28"/>
          <w:szCs w:val="28"/>
          <w:highlight w:val="none"/>
        </w:rPr>
        <w:t xml:space="preserve">и нарушены </w:t>
        <w:br/>
        <w:t xml:space="preserve">в результате чрезвычайной ситуации природного и техногенного характера (далее </w:t>
      </w:r>
      <w:r/>
      <w:r>
        <w:rPr>
          <w:rFonts w:hint="default" w:ascii="Cambria Math" w:hAnsi="Cambria Math" w:eastAsia="Cambria Math" w:cs="Cambria Math"/>
          <w:sz w:val="28"/>
          <w:szCs w:val="28"/>
          <w:highlight w:val="none"/>
        </w:rPr>
        <w:t xml:space="preserve">‒</w:t>
      </w:r>
      <w:r/>
      <w:r>
        <w:rPr>
          <w:sz w:val="28"/>
          <w:szCs w:val="28"/>
          <w:highlight w:val="none"/>
        </w:rPr>
        <w:t xml:space="preserve"> чрезвычайная ситуация) и признанные пострадавшими </w:t>
        <w:br/>
        <w:t xml:space="preserve">от чрезвычайной ситуации.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Внести в постановление правительства Еврейской автономной области </w:t>
      </w:r>
      <w:r>
        <w:rPr>
          <w:sz w:val="28"/>
          <w:szCs w:val="28"/>
          <w:highlight w:val="none"/>
        </w:rPr>
        <w:t xml:space="preserve">от</w:t>
      </w:r>
      <w:r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24.12.2021 № 568-пп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Порядка и условий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</w:t>
      </w:r>
      <w:r>
        <w:rPr>
          <w:sz w:val="28"/>
          <w:szCs w:val="28"/>
          <w:highlight w:val="none"/>
        </w:rPr>
        <w:t xml:space="preserve">и Еврейской автономной области, выплаты на приобретение жилых помещений взамен утраченных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none"/>
        </w:rPr>
        <w:t xml:space="preserve">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2.1.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Порядке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 условиях предоставления гражданам, пострадавшим </w:t>
        <w:br/>
        <w:t xml:space="preserve">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территории Еврейской автономной об</w:t>
      </w:r>
      <w:r>
        <w:rPr>
          <w:sz w:val="28"/>
          <w:szCs w:val="28"/>
          <w:highlight w:val="none"/>
        </w:rPr>
        <w:t xml:space="preserve">ласти, выплаты на приобретение жилых помещений взамен утраченных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утвержденном вышеуказанным постановлением: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в абзаце первом пункта 3 слова «</w:t>
      </w:r>
      <w:r>
        <w:rPr>
          <w:sz w:val="28"/>
          <w:szCs w:val="28"/>
          <w:highlight w:val="none"/>
        </w:rPr>
        <w:t xml:space="preserve">имеют граждане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имеют граждане</w:t>
      </w:r>
      <w:r>
        <w:rPr>
          <w:sz w:val="28"/>
          <w:szCs w:val="28"/>
          <w:highlight w:val="none"/>
        </w:rPr>
        <w:t xml:space="preserve"> Российской Федерации</w:t>
      </w:r>
      <w:r/>
      <w:r>
        <w:rPr>
          <w:sz w:val="28"/>
          <w:szCs w:val="28"/>
          <w:highlight w:val="none"/>
        </w:rPr>
        <w:t xml:space="preserve">,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 также иностранные граждане </w:t>
        <w:br/>
        <w:t xml:space="preserve">(в случаях, предусмотренных международными договорами Российской Федерации)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лица без гражданства</w:t>
      </w:r>
      <w:r/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Внести в постановление правительства Еврейской автономной области </w:t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24.12.2021 № 569-пп</w:t>
      </w:r>
      <w:r>
        <w:rPr>
          <w:sz w:val="28"/>
          <w:szCs w:val="28"/>
          <w:highlight w:val="none"/>
        </w:rPr>
        <w:t xml:space="preserve"> «</w:t>
      </w:r>
      <w:r>
        <w:rPr>
          <w:sz w:val="28"/>
          <w:szCs w:val="28"/>
          <w:highlight w:val="none"/>
        </w:rPr>
        <w:t xml:space="preserve">Об утверждении Порядка и условий предоставления гражданам, пострадавшим 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</w:t>
      </w:r>
      <w:r>
        <w:rPr>
          <w:sz w:val="28"/>
          <w:szCs w:val="28"/>
          <w:highlight w:val="none"/>
        </w:rPr>
        <w:t xml:space="preserve">и Еврейской автономной области, выплаты на осуществление капитального ремонта поврежденных жилых помещений, находящихся в собственности этих граждан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 следующее изменение: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3.1. </w:t>
      </w:r>
      <w:r>
        <w:rPr>
          <w:sz w:val="28"/>
          <w:szCs w:val="28"/>
          <w:highlight w:val="none"/>
        </w:rPr>
        <w:t xml:space="preserve">В Порядке </w:t>
      </w:r>
      <w:r>
        <w:rPr>
          <w:sz w:val="28"/>
          <w:szCs w:val="28"/>
          <w:highlight w:val="none"/>
        </w:rPr>
        <w:t xml:space="preserve">и условиях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предоставления гражданам, пострадавшим </w:t>
        <w:br/>
        <w:t xml:space="preserve">в результате чрезвычайных ситуаций природного и техногенного характера, а также террористических актов и (или) при пресечении террористических актов правомерными действиями на территори</w:t>
      </w:r>
      <w:r>
        <w:rPr>
          <w:sz w:val="28"/>
          <w:szCs w:val="28"/>
          <w:highlight w:val="none"/>
        </w:rPr>
        <w:t xml:space="preserve">и Еврейской автономной области, выплаты на осуществление капитального ремонта поврежденных жилых помещений,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утвержденном вышеуказанным постановлением: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в пункте 3 слова «</w:t>
      </w:r>
      <w:r>
        <w:rPr>
          <w:sz w:val="28"/>
          <w:szCs w:val="28"/>
          <w:highlight w:val="none"/>
        </w:rPr>
        <w:t xml:space="preserve">имеют граждане</w:t>
      </w:r>
      <w:r>
        <w:rPr>
          <w:sz w:val="28"/>
          <w:szCs w:val="28"/>
          <w:highlight w:val="none"/>
        </w:rPr>
        <w:t xml:space="preserve">» заменить словами «и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меют граждане</w:t>
      </w:r>
      <w:r>
        <w:rPr>
          <w:sz w:val="28"/>
          <w:szCs w:val="28"/>
          <w:highlight w:val="none"/>
        </w:rPr>
        <w:t xml:space="preserve"> Российской Федерации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а также иностранные граждане </w:t>
        <w:br/>
        <w:t xml:space="preserve">(в случаях, предусмотренных международными договорами Российской Федерации)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лица без гражданства</w:t>
      </w:r>
      <w:r/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Настоящее постановление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вступает в силу через 10 дней после дня его </w:t>
      </w:r>
      <w:r>
        <w:rPr>
          <w:rFonts w:eastAsiaTheme="minorHAnsi"/>
          <w:sz w:val="28"/>
          <w:szCs w:val="28"/>
          <w:lang w:eastAsia="en-US"/>
        </w:rPr>
        <w:t xml:space="preserve">официального опубликования.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/>
    </w:p>
    <w:p>
      <w:pPr>
        <w:jc w:val="both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области                                                                      Р.Э. Гольдштейн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fldSimple w:instr="PAGE \* MERGEFORMAT">
      <w:r>
        <w:t xml:space="preserve">1</w:t>
      </w:r>
    </w:fldSimple>
    <w:r/>
    <w:r/>
  </w:p>
  <w:p>
    <w:pPr>
      <w:pStyle w:val="6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List Paragraph"/>
    <w:basedOn w:val="847"/>
    <w:uiPriority w:val="34"/>
    <w:qFormat/>
    <w:pPr>
      <w:contextualSpacing/>
      <w:ind w:left="720"/>
    </w:pPr>
  </w:style>
  <w:style w:type="paragraph" w:styleId="852">
    <w:name w:val="Balloon Text"/>
    <w:basedOn w:val="847"/>
    <w:link w:val="85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848"/>
    <w:link w:val="85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4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opk_114-1</dc:creator>
  <cp:revision>9</cp:revision>
  <dcterms:created xsi:type="dcterms:W3CDTF">2022-11-29T01:55:00Z</dcterms:created>
  <dcterms:modified xsi:type="dcterms:W3CDTF">2023-02-07T00:41:30Z</dcterms:modified>
</cp:coreProperties>
</file>